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BC3C" w14:textId="77777777" w:rsidR="00965EFD" w:rsidRDefault="00965EFD" w:rsidP="00965EFD">
      <w:pPr>
        <w:autoSpaceDE w:val="0"/>
        <w:autoSpaceDN w:val="0"/>
        <w:spacing w:before="1126" w:after="0" w:line="320" w:lineRule="exact"/>
        <w:ind w:left="24" w:right="24"/>
        <w:rPr>
          <w:lang w:eastAsia="zh-CN"/>
        </w:rPr>
      </w:pPr>
      <w:r>
        <w:rPr>
          <w:rFonts w:ascii="宋体" w:eastAsia="宋体" w:hAnsi="宋体"/>
          <w:color w:val="000000"/>
          <w:sz w:val="32"/>
          <w:lang w:eastAsia="zh-CN"/>
        </w:rPr>
        <w:t>附件 1</w:t>
      </w:r>
    </w:p>
    <w:p w14:paraId="0352090A" w14:textId="77777777" w:rsidR="00965EFD" w:rsidRDefault="00965EFD" w:rsidP="00965EFD">
      <w:pPr>
        <w:autoSpaceDE w:val="0"/>
        <w:autoSpaceDN w:val="0"/>
        <w:spacing w:before="400" w:after="248" w:line="440" w:lineRule="exact"/>
        <w:ind w:left="1604" w:right="1604"/>
        <w:jc w:val="right"/>
        <w:rPr>
          <w:lang w:eastAsia="zh-CN"/>
        </w:rPr>
      </w:pPr>
      <w:r>
        <w:rPr>
          <w:rFonts w:ascii="宋体" w:eastAsia="宋体" w:hAnsi="宋体"/>
          <w:color w:val="000000"/>
          <w:sz w:val="44"/>
          <w:lang w:eastAsia="zh-CN"/>
        </w:rPr>
        <w:t>广东省民办教育协会 2019 年科研项目课题评定结果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664"/>
        <w:gridCol w:w="1574"/>
        <w:gridCol w:w="4498"/>
        <w:gridCol w:w="1032"/>
        <w:gridCol w:w="3302"/>
        <w:gridCol w:w="1380"/>
        <w:gridCol w:w="1536"/>
      </w:tblGrid>
      <w:tr w:rsidR="00965EFD" w14:paraId="0AB75EB2" w14:textId="77777777" w:rsidTr="00751F5F">
        <w:trPr>
          <w:trHeight w:hRule="exact" w:val="980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3183CB" w14:textId="77777777" w:rsidR="00965EFD" w:rsidRDefault="00965EFD" w:rsidP="00751F5F">
            <w:pPr>
              <w:autoSpaceDE w:val="0"/>
              <w:autoSpaceDN w:val="0"/>
              <w:spacing w:before="378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序号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9A07AB" w14:textId="77777777" w:rsidR="00965EFD" w:rsidRDefault="00965EFD" w:rsidP="00751F5F">
            <w:pPr>
              <w:autoSpaceDE w:val="0"/>
              <w:autoSpaceDN w:val="0"/>
              <w:spacing w:before="378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课题编号</w:t>
            </w:r>
            <w:proofErr w:type="spellEnd"/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2524E2" w14:textId="77777777" w:rsidR="00965EFD" w:rsidRDefault="00965EFD" w:rsidP="00751F5F">
            <w:pPr>
              <w:autoSpaceDE w:val="0"/>
              <w:autoSpaceDN w:val="0"/>
              <w:spacing w:before="378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课题名称</w:t>
            </w:r>
            <w:proofErr w:type="spellEnd"/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04AC05" w14:textId="77777777" w:rsidR="00965EFD" w:rsidRDefault="00965EFD" w:rsidP="00751F5F">
            <w:pPr>
              <w:autoSpaceDE w:val="0"/>
              <w:autoSpaceDN w:val="0"/>
              <w:spacing w:before="534" w:after="0" w:line="220" w:lineRule="exact"/>
              <w:ind w:left="104" w:right="104"/>
            </w:pPr>
            <w:proofErr w:type="spellStart"/>
            <w:r>
              <w:rPr>
                <w:rFonts w:ascii="宋体" w:eastAsia="宋体" w:hAnsi="宋体"/>
                <w:color w:val="000000"/>
              </w:rPr>
              <w:t>负责人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482552" w14:textId="77777777" w:rsidR="00965EFD" w:rsidRDefault="00965EFD" w:rsidP="00751F5F">
            <w:pPr>
              <w:autoSpaceDE w:val="0"/>
              <w:autoSpaceDN w:val="0"/>
              <w:spacing w:before="378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工作单位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CC7BAD" w14:textId="77777777" w:rsidR="00965EFD" w:rsidRDefault="00965EFD" w:rsidP="00751F5F">
            <w:pPr>
              <w:autoSpaceDE w:val="0"/>
              <w:autoSpaceDN w:val="0"/>
              <w:spacing w:before="378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类别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B1813A" w14:textId="77777777" w:rsidR="00965EFD" w:rsidRDefault="00965EFD" w:rsidP="00751F5F">
            <w:pPr>
              <w:autoSpaceDE w:val="0"/>
              <w:autoSpaceDN w:val="0"/>
              <w:spacing w:before="378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是否通过结题</w:t>
            </w:r>
            <w:proofErr w:type="spellEnd"/>
          </w:p>
        </w:tc>
      </w:tr>
      <w:tr w:rsidR="00965EFD" w14:paraId="0D740C92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B89739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8E4744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2019GM1.0.0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50C236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监事会在民办高校治理中的职能和作用研究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376889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钟伟强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B21E37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广州工商学院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3E2B00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048522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6758FB9F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12FEC1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C3F10D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2019GM4.9.3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036FBE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“互联网+教育”背景下广东民办高校教师“TPACK”能力调查及提高路径研究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E294B5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王 飞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6F9E93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中山大学新华学院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23376E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12627D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483900F9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B9F507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F9E776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2019GM2.7.1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314C26" w14:textId="77777777" w:rsidR="00965EFD" w:rsidRDefault="00965EFD" w:rsidP="00751F5F">
            <w:pPr>
              <w:autoSpaceDE w:val="0"/>
              <w:autoSpaceDN w:val="0"/>
              <w:spacing w:after="0" w:line="308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民办高校思政课教师队伍“124”立体化培养体系的构建与实践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42FCB6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沈秋娜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E5A0B8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广东岭南职业技术学院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537B14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A565A3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3103C691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E72A5F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515727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2019GM4.2.1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894870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基于产业结构转型升级的民办高职专业结构调整研究——以广东省为例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4ACBF49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赵新成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233421D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广州城建职业学院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7C3046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54A9D3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70850C70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E5640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3AE843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2019GM5.3.2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5ED2117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“百日好父母”幼小衔接家长成长计划探索与实践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51B458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吴孝芋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46FB2D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佛山市高明区沧江中学附属小学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1EAA7C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7F5FA5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7E6B0F1B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B3B1A2D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6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6802FE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2019GM4.1.6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247B186" w14:textId="77777777" w:rsidR="00965EFD" w:rsidRDefault="00965EFD" w:rsidP="00751F5F">
            <w:pPr>
              <w:autoSpaceDE w:val="0"/>
              <w:autoSpaceDN w:val="0"/>
              <w:spacing w:after="0" w:line="308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新工科形势下民办高校物联网应用型人才模式研究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72470E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沈 兰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1CDB13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广州大学松田学院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0D2C77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6F8C6E" w14:textId="77777777" w:rsidR="00965EFD" w:rsidRDefault="00965EFD" w:rsidP="00751F5F">
            <w:pPr>
              <w:autoSpaceDE w:val="0"/>
              <w:autoSpaceDN w:val="0"/>
              <w:spacing w:before="242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3ED74C63" w14:textId="77777777" w:rsidTr="00751F5F">
        <w:trPr>
          <w:trHeight w:hRule="exact" w:val="710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2F7305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5C7C87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2019GM2.2.4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222EAB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民办高校教师党支部在课堂思政中发挥作用的实践路径研究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65380D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李 颖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6243413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广东工商职业技术大学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EE7F37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93314E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</w:tbl>
    <w:p w14:paraId="649A3DA4" w14:textId="77777777" w:rsidR="00965EFD" w:rsidRDefault="00965EFD" w:rsidP="00965EFD">
      <w:pPr>
        <w:autoSpaceDE w:val="0"/>
        <w:autoSpaceDN w:val="0"/>
        <w:spacing w:before="1250" w:after="0" w:line="180" w:lineRule="exact"/>
        <w:jc w:val="center"/>
      </w:pPr>
      <w:r>
        <w:rPr>
          <w:rFonts w:ascii="Calibri" w:eastAsia="Calibri" w:hAnsi="Calibri"/>
          <w:color w:val="000000"/>
          <w:sz w:val="18"/>
        </w:rPr>
        <w:t>2</w:t>
      </w:r>
    </w:p>
    <w:p w14:paraId="0C3BA7F4" w14:textId="77777777" w:rsidR="00965EFD" w:rsidRDefault="00965EFD" w:rsidP="00965EFD">
      <w:pPr>
        <w:sectPr w:rsidR="00965EFD">
          <w:pgSz w:w="16838" w:h="11906"/>
          <w:pgMar w:top="976" w:right="1400" w:bottom="498" w:left="1416" w:header="720" w:footer="720" w:gutter="0"/>
          <w:cols w:space="720"/>
          <w:docGrid w:linePitch="360"/>
        </w:sectPr>
      </w:pPr>
    </w:p>
    <w:p w14:paraId="67A6FA47" w14:textId="77777777" w:rsidR="00965EFD" w:rsidRDefault="00965EFD" w:rsidP="00965EFD">
      <w:pPr>
        <w:autoSpaceDE w:val="0"/>
        <w:autoSpaceDN w:val="0"/>
        <w:spacing w:after="0" w:line="900" w:lineRule="exact"/>
      </w:pP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664"/>
        <w:gridCol w:w="1574"/>
        <w:gridCol w:w="4498"/>
        <w:gridCol w:w="1032"/>
        <w:gridCol w:w="3302"/>
        <w:gridCol w:w="1380"/>
        <w:gridCol w:w="1536"/>
      </w:tblGrid>
      <w:tr w:rsidR="00965EFD" w14:paraId="6948362A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DC704E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CD1324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2019GM4.7.2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640566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民办高校应用型人才创新创业研究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2FF22D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罗光丽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6A4CD7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广东外语外贸大学南国商学院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3129931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8BB268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658A0A64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52E92A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C7A60F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2019GM4.2.2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33A50F6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机制创新，模式改革——民办高校物流专业应用型特色建设研究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40BA18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王如心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30048F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广东白云学院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2BB39F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996B42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0BBEC78A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BD9071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5B316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2019GM3.4.2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82AA5C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民办高职院校服务区域经济发展研究——以惠州市民办高职为例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CE6DE2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郜燕群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45A1E4A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惠州经济职业技术学院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48D6A6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5F800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08024CF6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F9A172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B3619C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2019GM1.4.1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B49DA6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广东省民办高等职业教育发展问题及对策研究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10CC70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朱军明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7FA414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广东创新科技职业学院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C6605E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A6BE378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046230B6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4F2F1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CE684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2019GM1.2.1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82A331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中泰民办高等教育发展比较研究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BB41E6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宗明明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DC101D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北京理工大学珠海学院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62F03E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A74DD8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7BF640B9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F37668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1247C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2019GM1.8.1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586885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广东省民办教育集团化办学研究——以广东华立教育集团为例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AE9E3E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王庆海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7F987E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广州华立科技职业学院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ADF07BA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383280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33699B67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1DEC86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14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4079922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2019GM3.4.1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8A9FFF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对接精准扶贫，助力美丽乡村建设—广州城建职业学院服务区域经济发展研究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28A9AA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陈 勇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01C929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广州城建职业学院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8EDAAC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67DBD7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51396C60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57B7F2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15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C9F8FA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2019GM4.2.4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614165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“精准创新”发展视角下的民办高校机电专业特色建设研究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16B0D5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盛华军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8ABFDB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广州职业技术大学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EF24B9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960CA30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69B0A080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FF9005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16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44CDEF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2019GM3.5.6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9D138F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产教融合背景下民办高职院校会计专业校企协同育人机制创新研究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03FE3C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黄子明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3D20DC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广州华南商贸职业学院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8226253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22F22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1A394D80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0A42A4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17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AB55E1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2019GM5.1.2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0AA3CE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民办高校董事长、党组织书记、校长重大决策事项沟通机制和日常协商机制研究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3AF479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尚 越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C1893E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广东工商职业技术大学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BAEDB4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03E1F07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11F2D289" w14:textId="77777777" w:rsidTr="00751F5F">
        <w:trPr>
          <w:trHeight w:hRule="exact" w:val="710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5EE80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18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F7A3FE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2019GM3.5.10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5B0623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民办本科高校产教融合与校企合作机制研究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0755C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田 玥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720D00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广东培正学院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69C02C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5FE2589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</w:tbl>
    <w:p w14:paraId="2B839C7A" w14:textId="77777777" w:rsidR="00965EFD" w:rsidRDefault="00965EFD" w:rsidP="00965EFD">
      <w:pPr>
        <w:autoSpaceDE w:val="0"/>
        <w:autoSpaceDN w:val="0"/>
        <w:spacing w:before="1092" w:after="0" w:line="180" w:lineRule="exact"/>
        <w:jc w:val="center"/>
      </w:pPr>
      <w:r>
        <w:rPr>
          <w:rFonts w:ascii="Calibri" w:eastAsia="Calibri" w:hAnsi="Calibri"/>
          <w:color w:val="000000"/>
          <w:sz w:val="18"/>
        </w:rPr>
        <w:t>3</w:t>
      </w:r>
    </w:p>
    <w:p w14:paraId="7316AB77" w14:textId="77777777" w:rsidR="00965EFD" w:rsidRDefault="00965EFD" w:rsidP="00965EFD">
      <w:pPr>
        <w:sectPr w:rsidR="00965EFD">
          <w:pgSz w:w="16838" w:h="11906"/>
          <w:pgMar w:top="898" w:right="1400" w:bottom="498" w:left="1416" w:header="720" w:footer="720" w:gutter="0"/>
          <w:cols w:space="720"/>
          <w:docGrid w:linePitch="360"/>
        </w:sectPr>
      </w:pPr>
    </w:p>
    <w:p w14:paraId="47BCE872" w14:textId="77777777" w:rsidR="00965EFD" w:rsidRDefault="00965EFD" w:rsidP="00965EFD">
      <w:pPr>
        <w:autoSpaceDE w:val="0"/>
        <w:autoSpaceDN w:val="0"/>
        <w:spacing w:after="0" w:line="900" w:lineRule="exact"/>
      </w:pP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664"/>
        <w:gridCol w:w="1574"/>
        <w:gridCol w:w="4498"/>
        <w:gridCol w:w="1032"/>
        <w:gridCol w:w="3302"/>
        <w:gridCol w:w="1380"/>
        <w:gridCol w:w="1536"/>
      </w:tblGrid>
      <w:tr w:rsidR="00965EFD" w14:paraId="76B53380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2E2CC4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19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7781C64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2019GM4.3.3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E60337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数字媒体应用技术专业“岗证课赛”课程体系研究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4163B7C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萧 玥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F4CA1B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广州华南商贸职业学院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FA4148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A727F9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03A25289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85BC1C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8E511E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2019GM3.5.7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CAC8A8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民办高校旅游管理专业校企合作实践研究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80D04A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曾莉莎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C3791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广东南方职业学院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08D813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560248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3598B2CE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5450519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E153D1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2019GM3.5.2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595A8F" w14:textId="77777777" w:rsidR="00965EFD" w:rsidRDefault="00965EFD" w:rsidP="00751F5F">
            <w:pPr>
              <w:autoSpaceDE w:val="0"/>
              <w:autoSpaceDN w:val="0"/>
              <w:spacing w:after="0" w:line="31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民办学校服装专业依托“基地”建设的“工学交替”产教融合教学改革与实践研究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F3ED6D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陈改梅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E8416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广州华立科技职业学院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218E83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B653B1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7AC82582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104D52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22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731D61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2019GM5.1.1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3ADCDD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民办高校心理危机干预现状及路径研究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380731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徐燕萍</w:t>
            </w:r>
            <w:proofErr w:type="spellEnd"/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78B4C5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广东外语外贸大学南国商学院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BBDED4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604F1F" w14:textId="77777777" w:rsidR="00965EFD" w:rsidRDefault="00965EFD" w:rsidP="00751F5F">
            <w:pPr>
              <w:autoSpaceDE w:val="0"/>
              <w:autoSpaceDN w:val="0"/>
              <w:spacing w:before="242" w:after="0" w:line="222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6973CC5C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53F6D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3197CF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2019GM4.9.2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99A3DB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民办高校应用型教师教学能力发展研究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300996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胡 林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EC913E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广东外语外贸大学南国商学院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8CB184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83056C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  <w:tr w:rsidR="00965EFD" w14:paraId="3319AD5F" w14:textId="77777777" w:rsidTr="00751F5F">
        <w:trPr>
          <w:trHeight w:hRule="exact" w:val="71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A73D43E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24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A21ACC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2019GM4.7.1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EB00DE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ind w:left="102" w:right="102"/>
              <w:rPr>
                <w:lang w:eastAsia="zh-CN"/>
              </w:rPr>
            </w:pPr>
            <w:r>
              <w:rPr>
                <w:rFonts w:ascii="宋体" w:eastAsia="宋体" w:hAnsi="宋体"/>
                <w:color w:val="000000"/>
                <w:lang w:eastAsia="zh-CN"/>
              </w:rPr>
              <w:t>广东民办高校创新创业教育改革研究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8D08AF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r>
              <w:rPr>
                <w:rFonts w:ascii="宋体" w:eastAsia="宋体" w:hAnsi="宋体"/>
                <w:color w:val="000000"/>
              </w:rPr>
              <w:t>文 超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92F8B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广东科技学院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D5C67D7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立项非资助</w:t>
            </w:r>
            <w:proofErr w:type="spellEnd"/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08510A" w14:textId="77777777" w:rsidR="00965EFD" w:rsidRDefault="00965EFD" w:rsidP="00751F5F">
            <w:pPr>
              <w:autoSpaceDE w:val="0"/>
              <w:autoSpaceDN w:val="0"/>
              <w:spacing w:before="244" w:after="0" w:line="220" w:lineRule="exact"/>
              <w:jc w:val="center"/>
            </w:pPr>
            <w:proofErr w:type="spellStart"/>
            <w:r>
              <w:rPr>
                <w:rFonts w:ascii="宋体" w:eastAsia="宋体" w:hAnsi="宋体"/>
                <w:color w:val="000000"/>
              </w:rPr>
              <w:t>通过结题验收</w:t>
            </w:r>
            <w:proofErr w:type="spellEnd"/>
          </w:p>
        </w:tc>
      </w:tr>
    </w:tbl>
    <w:p w14:paraId="038C706B" w14:textId="77777777" w:rsidR="001B2412" w:rsidRDefault="001B2412"/>
    <w:sectPr w:rsidR="001B2412" w:rsidSect="00965E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02C"/>
    <w:rsid w:val="00046E12"/>
    <w:rsid w:val="00047ECC"/>
    <w:rsid w:val="00057BA7"/>
    <w:rsid w:val="000E4B79"/>
    <w:rsid w:val="000E66C7"/>
    <w:rsid w:val="000F4CB3"/>
    <w:rsid w:val="00117881"/>
    <w:rsid w:val="001806A8"/>
    <w:rsid w:val="001B16E4"/>
    <w:rsid w:val="001B2412"/>
    <w:rsid w:val="001C013F"/>
    <w:rsid w:val="0025372F"/>
    <w:rsid w:val="002879D5"/>
    <w:rsid w:val="002950E3"/>
    <w:rsid w:val="002970AD"/>
    <w:rsid w:val="003204A5"/>
    <w:rsid w:val="0038091A"/>
    <w:rsid w:val="003F4D38"/>
    <w:rsid w:val="004073A1"/>
    <w:rsid w:val="0043162D"/>
    <w:rsid w:val="005034E5"/>
    <w:rsid w:val="00516882"/>
    <w:rsid w:val="00561154"/>
    <w:rsid w:val="005A4D14"/>
    <w:rsid w:val="005B0765"/>
    <w:rsid w:val="00604F85"/>
    <w:rsid w:val="006424BC"/>
    <w:rsid w:val="006D0360"/>
    <w:rsid w:val="006E0DE1"/>
    <w:rsid w:val="007545BD"/>
    <w:rsid w:val="007C34AB"/>
    <w:rsid w:val="00813AAF"/>
    <w:rsid w:val="00866A53"/>
    <w:rsid w:val="00872FFE"/>
    <w:rsid w:val="008D1C37"/>
    <w:rsid w:val="008F0C97"/>
    <w:rsid w:val="0092622D"/>
    <w:rsid w:val="00936F6F"/>
    <w:rsid w:val="00955FFE"/>
    <w:rsid w:val="00965EFD"/>
    <w:rsid w:val="009E602B"/>
    <w:rsid w:val="009F6E34"/>
    <w:rsid w:val="00A109E8"/>
    <w:rsid w:val="00A43F83"/>
    <w:rsid w:val="00A50163"/>
    <w:rsid w:val="00AA7A39"/>
    <w:rsid w:val="00AC2329"/>
    <w:rsid w:val="00B25CA6"/>
    <w:rsid w:val="00B86379"/>
    <w:rsid w:val="00BC38C2"/>
    <w:rsid w:val="00BE69B7"/>
    <w:rsid w:val="00C0402C"/>
    <w:rsid w:val="00C10D93"/>
    <w:rsid w:val="00C12DD4"/>
    <w:rsid w:val="00CC7AC8"/>
    <w:rsid w:val="00CF6203"/>
    <w:rsid w:val="00D33867"/>
    <w:rsid w:val="00D437D9"/>
    <w:rsid w:val="00D55D65"/>
    <w:rsid w:val="00D94493"/>
    <w:rsid w:val="00DE2001"/>
    <w:rsid w:val="00E76162"/>
    <w:rsid w:val="00ED71F1"/>
    <w:rsid w:val="00EF77DD"/>
    <w:rsid w:val="00F4604D"/>
    <w:rsid w:val="00FA51A0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AA534-CA16-414E-A020-94CBB14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EFD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海霞</dc:creator>
  <cp:keywords/>
  <dc:description/>
  <cp:lastModifiedBy>李 海霞</cp:lastModifiedBy>
  <cp:revision>2</cp:revision>
  <dcterms:created xsi:type="dcterms:W3CDTF">2021-08-06T09:35:00Z</dcterms:created>
  <dcterms:modified xsi:type="dcterms:W3CDTF">2021-08-06T09:38:00Z</dcterms:modified>
</cp:coreProperties>
</file>